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9B2" w:rsidRDefault="002B1084" w:rsidP="001949B2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B1084" w:rsidRDefault="002B1084" w:rsidP="001949B2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B1084" w:rsidRDefault="002B1084" w:rsidP="001949B2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E2342" w:rsidRPr="002B1084" w:rsidRDefault="00BE234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B1084">
        <w:rPr>
          <w:rFonts w:ascii="Times New Roman" w:hAnsi="Times New Roman" w:cs="Times New Roman"/>
          <w:sz w:val="28"/>
          <w:szCs w:val="28"/>
        </w:rPr>
        <w:t>ПАСПОРТ</w:t>
      </w:r>
    </w:p>
    <w:p w:rsidR="00BE2342" w:rsidRPr="002B1084" w:rsidRDefault="00BE23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84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</w:p>
    <w:p w:rsidR="00BE2342" w:rsidRPr="002B1084" w:rsidRDefault="00BE23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84">
        <w:rPr>
          <w:rFonts w:ascii="Times New Roman" w:hAnsi="Times New Roman" w:cs="Times New Roman"/>
          <w:sz w:val="28"/>
          <w:szCs w:val="28"/>
        </w:rPr>
        <w:t>«Развитие лесного хозяйства Новосибирской области»</w:t>
      </w:r>
    </w:p>
    <w:p w:rsidR="00BE2342" w:rsidRPr="002B1084" w:rsidRDefault="00BE23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7112"/>
      </w:tblGrid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 w:rsidP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Новосибирской области «Развитие лесного хозяйства Новосибирской области» (далее - государственная программа)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 w:rsidP="000B21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лесного хозяйства Новосибирской области; рабочая группа, утвержденная приказом департамента лесного хозяйства Новосибирской области от 24.02.2014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67 «О создании рабочей группы по разработке государственной программы Новосибирской области»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Новосибирской области (далее - министерство)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Министр природных ресурсов и экологии Новосибирской области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отдельных мероприятий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 w:rsidP="000B21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и его подведомственные предприятия и учреждения: ГУП НСО - лесхозы, ГАУ НСО - лесхозы, ГАУ НСО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Новосибирская база авиационной охраны лесов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, ГБПОУ НСО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Тогучинский лесхоз-техникум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(до 2019 года включительно), а также АО - лесхозы, 100% акций которых принадлежат Новосибирской области, арендаторы лесных участков, другие организации различных видов собственности и организационно-правовых форм, привлекаемые в порядке, установленном Федеральным законом от 05.04.2013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44-ФЗ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E2342" w:rsidRPr="002B1084" w:rsidTr="00DF7AA7">
        <w:tblPrEx>
          <w:tblBorders>
            <w:insideH w:val="single" w:sz="4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single" w:sz="4" w:space="0" w:color="auto"/>
            </w:tcBorders>
          </w:tcPr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Цель государственной программы - повышение эффективности использования, охраны, защиты и воспроизводства лесов, обеспечение стабильного 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удовлетворения общественных потребностей в ресурсах и полезных свойствах леса при гарантированном сохранении ресурсно-экологического потенциала и глобальных функций лесов.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сокращение потерь лесного хозяйства от пожаров, вредных организмов, создание условий для рационального и интенсивного использования лесов, повышение их продуктивности и качества на основе их гарантированного воспроизводства и лесоразведения;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лесами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6021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 w:rsidR="00BE2342" w:rsidRPr="002B1084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программы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>Обеспечение использования, охраны, защиты и воспроизводства лесов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2342" w:rsidRPr="002B1084" w:rsidRDefault="006021D5" w:rsidP="000B21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BE2342" w:rsidRPr="002B1084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программы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государственной программы 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>Развитие лесного хозяйства Новосибирской области</w:t>
            </w:r>
            <w:r w:rsidR="000B212A" w:rsidRPr="002B10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 w:rsidP="009768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программы: 2015 - 20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годы. Этапы реализации государственной программы не выделяются</w:t>
            </w:r>
          </w:p>
        </w:tc>
      </w:tr>
      <w:tr w:rsidR="00BE2342" w:rsidRPr="002B1084" w:rsidTr="00DF7AA7">
        <w:trPr>
          <w:trHeight w:val="4140"/>
        </w:trPr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государственной программы составляет </w:t>
            </w:r>
            <w:r w:rsidR="00837402" w:rsidRPr="002B1084">
              <w:rPr>
                <w:rFonts w:ascii="Times New Roman" w:hAnsi="Times New Roman" w:cs="Times New Roman"/>
                <w:sz w:val="28"/>
                <w:szCs w:val="28"/>
              </w:rPr>
              <w:t>12 192 858,0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 тыс. руб. за период 2015–2030 годов.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государственной программы: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2015 год – 964 786,2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2016 год – 934 841,9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2017 год – 981 885,8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2018 год – 819 352,3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2019 год – 862 174,1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2020 год – 637 847,7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2021 год – 794 892,3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2022 год – 859 324,5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2023 год – </w:t>
            </w:r>
            <w:r w:rsidR="00837402" w:rsidRPr="002B1084">
              <w:rPr>
                <w:rFonts w:ascii="Times New Roman" w:hAnsi="Times New Roman" w:cs="Times New Roman"/>
                <w:sz w:val="28"/>
                <w:szCs w:val="28"/>
              </w:rPr>
              <w:t>569 292,3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2024 год – 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543 358,1 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тыс. руб.;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2025 год – </w:t>
            </w:r>
            <w:r w:rsidR="00976851" w:rsidRPr="002B1084">
              <w:rPr>
                <w:rFonts w:eastAsiaTheme="minorEastAsia"/>
                <w:sz w:val="28"/>
                <w:szCs w:val="28"/>
              </w:rPr>
              <w:t>549 840,3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 руб.;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>2026 год – 735 052,5 тыс. 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>2027 год – 735 052,5 тыс. 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>2028 год – 735 052,5 тыс. 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>2029 год – 735 052,5 тыс. руб.*;</w:t>
            </w:r>
          </w:p>
          <w:p w:rsidR="00BE2342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>2030 год – 735 052,5 тыс. руб.*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 по источникам финансирования: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из федерального бюджета за период 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2015–2030 годов – 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>3 165 772,1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 тыс. руб., в том числе: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2015 год – 242 644,9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2016 год – 290 749,6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2017 год – 256 111,4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2018 год – 82 145,1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2019 год – 200 682,3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2020 год – 162 321,9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2021 год – 276 449,6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2022 год – 325 276,3 тыс. руб.;</w:t>
            </w:r>
          </w:p>
          <w:p w:rsidR="00976851" w:rsidRPr="002B1084" w:rsidRDefault="00976851" w:rsidP="00976851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2023 год – 16 051,0 тыс. руб.;</w:t>
            </w:r>
          </w:p>
          <w:p w:rsidR="00976851" w:rsidRPr="002B1084" w:rsidRDefault="00976851" w:rsidP="00976851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2024 год – 43 146,4 тыс. руб.;</w:t>
            </w:r>
          </w:p>
          <w:p w:rsidR="00976851" w:rsidRPr="002B1084" w:rsidRDefault="00976851" w:rsidP="00976851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2025 год – </w:t>
            </w:r>
            <w:r w:rsidRPr="002B1084">
              <w:rPr>
                <w:sz w:val="28"/>
                <w:szCs w:val="28"/>
              </w:rPr>
              <w:t>47 310,6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 руб.;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2026 год – </w:t>
            </w:r>
            <w:r w:rsidRPr="002B1084">
              <w:rPr>
                <w:sz w:val="28"/>
                <w:szCs w:val="28"/>
              </w:rPr>
              <w:t xml:space="preserve">244 576,6 </w:t>
            </w:r>
            <w:r w:rsidRPr="002B1084">
              <w:rPr>
                <w:rFonts w:eastAsiaTheme="minorEastAsia"/>
                <w:sz w:val="28"/>
                <w:szCs w:val="28"/>
              </w:rPr>
              <w:t>тыс. 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2027 год – </w:t>
            </w:r>
            <w:r w:rsidRPr="002B1084">
              <w:rPr>
                <w:sz w:val="28"/>
                <w:szCs w:val="28"/>
              </w:rPr>
              <w:t>244 576,6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 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2028 год – </w:t>
            </w:r>
            <w:r w:rsidRPr="002B1084">
              <w:rPr>
                <w:sz w:val="28"/>
                <w:szCs w:val="28"/>
              </w:rPr>
              <w:t>244 576,6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 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2029 год – </w:t>
            </w:r>
            <w:r w:rsidRPr="002B1084">
              <w:rPr>
                <w:sz w:val="28"/>
                <w:szCs w:val="28"/>
              </w:rPr>
              <w:t>244 576,6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 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2030 год – </w:t>
            </w:r>
            <w:r w:rsidRPr="002B1084">
              <w:rPr>
                <w:sz w:val="28"/>
                <w:szCs w:val="28"/>
              </w:rPr>
              <w:t>244 576,6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 руб.*;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Новосибирской области за период 2015–2030 годов – </w:t>
            </w:r>
            <w:r w:rsidR="00976851" w:rsidRPr="002B1084">
              <w:rPr>
                <w:sz w:val="28"/>
                <w:szCs w:val="28"/>
              </w:rPr>
              <w:t>1 068 404,0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 тыс. руб.,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br/>
              <w:t>в том числе: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2015 год – 45 131,0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2016 год – 42 075,1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2017 год – 79 620,9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2018 год – 72 693,0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2019 год – 103 780,8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2020 год – 37 311,5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2021 год – 87 839,5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2022 год – 96 119,6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2023 год – 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>115 262,6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2024 год – 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>62 133,0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 тыс. руб.;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2025 год – </w:t>
            </w:r>
            <w:r w:rsidR="00976851" w:rsidRPr="002B1084">
              <w:rPr>
                <w:sz w:val="28"/>
                <w:szCs w:val="28"/>
              </w:rPr>
              <w:t xml:space="preserve">64 451,0 </w:t>
            </w:r>
            <w:r w:rsidRPr="002B1084">
              <w:rPr>
                <w:rFonts w:eastAsiaTheme="minorEastAsia"/>
                <w:sz w:val="28"/>
                <w:szCs w:val="28"/>
              </w:rPr>
              <w:t>тыс. 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2026 год – </w:t>
            </w:r>
            <w:r w:rsidRPr="002B1084">
              <w:rPr>
                <w:sz w:val="28"/>
                <w:szCs w:val="28"/>
              </w:rPr>
              <w:t xml:space="preserve">52 397,2 </w:t>
            </w:r>
            <w:r w:rsidRPr="002B1084">
              <w:rPr>
                <w:rFonts w:eastAsiaTheme="minorEastAsia"/>
                <w:sz w:val="28"/>
                <w:szCs w:val="28"/>
              </w:rPr>
              <w:t>тыс. 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2027 год – </w:t>
            </w:r>
            <w:r w:rsidRPr="002B1084">
              <w:rPr>
                <w:sz w:val="28"/>
                <w:szCs w:val="28"/>
              </w:rPr>
              <w:t>52 397,2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 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2028 год – </w:t>
            </w:r>
            <w:r w:rsidRPr="002B1084">
              <w:rPr>
                <w:sz w:val="28"/>
                <w:szCs w:val="28"/>
              </w:rPr>
              <w:t xml:space="preserve">52 397,2 </w:t>
            </w:r>
            <w:r w:rsidRPr="002B1084">
              <w:rPr>
                <w:rFonts w:eastAsiaTheme="minorEastAsia"/>
                <w:sz w:val="28"/>
                <w:szCs w:val="28"/>
              </w:rPr>
              <w:t>тыс. 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2029 год – </w:t>
            </w:r>
            <w:r w:rsidRPr="002B1084">
              <w:rPr>
                <w:sz w:val="28"/>
                <w:szCs w:val="28"/>
              </w:rPr>
              <w:t>52 397,2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 руб.*;</w:t>
            </w:r>
          </w:p>
          <w:p w:rsidR="00A7299D" w:rsidRPr="002B1084" w:rsidRDefault="00A7299D" w:rsidP="00A7299D">
            <w:pPr>
              <w:spacing w:before="0" w:after="0"/>
              <w:ind w:firstLine="29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2030 год – </w:t>
            </w:r>
            <w:r w:rsidRPr="002B1084">
              <w:rPr>
                <w:sz w:val="28"/>
                <w:szCs w:val="28"/>
              </w:rPr>
              <w:t xml:space="preserve">52 397,2 </w:t>
            </w:r>
            <w:r w:rsidRPr="002B1084">
              <w:rPr>
                <w:rFonts w:eastAsiaTheme="minorEastAsia"/>
                <w:sz w:val="28"/>
                <w:szCs w:val="28"/>
              </w:rPr>
              <w:t>тыс. руб.*;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за период 2015–2030 годов – 7 958 681,9 тыс. руб., в том числе: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2015 год – 677 010,3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2016 год – 602 017,2 тыс. руб.;</w:t>
            </w:r>
          </w:p>
          <w:p w:rsidR="00A7299D" w:rsidRPr="002B1084" w:rsidRDefault="00A7299D" w:rsidP="00A7299D">
            <w:pPr>
              <w:pStyle w:val="a3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2017 год – 646 153,5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2018 год – 664 514,2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 год – 557 711,0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2020 год – 438 214,3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2021 год – 430 603,2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2022 год – 437 928,6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2023 год – 437 978,7 тыс. руб.;</w:t>
            </w:r>
          </w:p>
          <w:p w:rsidR="00A7299D" w:rsidRPr="002B1084" w:rsidRDefault="00A7299D" w:rsidP="00A729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2024 год – 438 078,7 тыс. руб.;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2025 год – </w:t>
            </w:r>
            <w:r w:rsidRPr="002B1084">
              <w:rPr>
                <w:sz w:val="28"/>
                <w:szCs w:val="28"/>
              </w:rPr>
              <w:t>438 078,7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 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2026 год – </w:t>
            </w:r>
            <w:r w:rsidRPr="002B1084">
              <w:rPr>
                <w:sz w:val="28"/>
                <w:szCs w:val="28"/>
              </w:rPr>
              <w:t xml:space="preserve">438 078,7 </w:t>
            </w:r>
            <w:r w:rsidRPr="002B1084">
              <w:rPr>
                <w:rFonts w:eastAsiaTheme="minorEastAsia"/>
                <w:sz w:val="28"/>
                <w:szCs w:val="28"/>
              </w:rPr>
              <w:t>тыс. 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2027 год – </w:t>
            </w:r>
            <w:r w:rsidRPr="002B1084">
              <w:rPr>
                <w:sz w:val="28"/>
                <w:szCs w:val="28"/>
              </w:rPr>
              <w:t>438 078,7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 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2028 год – </w:t>
            </w:r>
            <w:r w:rsidRPr="002B1084">
              <w:rPr>
                <w:sz w:val="28"/>
                <w:szCs w:val="28"/>
              </w:rPr>
              <w:t xml:space="preserve">438 078,7 </w:t>
            </w:r>
            <w:r w:rsidRPr="002B1084">
              <w:rPr>
                <w:rFonts w:eastAsiaTheme="minorEastAsia"/>
                <w:sz w:val="28"/>
                <w:szCs w:val="28"/>
              </w:rPr>
              <w:t>тыс. 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2029 год – </w:t>
            </w:r>
            <w:r w:rsidRPr="002B1084">
              <w:rPr>
                <w:sz w:val="28"/>
                <w:szCs w:val="28"/>
              </w:rPr>
              <w:t>438 078,7</w:t>
            </w:r>
            <w:r w:rsidRPr="002B1084">
              <w:rPr>
                <w:rFonts w:eastAsiaTheme="minorEastAsia"/>
                <w:sz w:val="28"/>
                <w:szCs w:val="28"/>
              </w:rPr>
              <w:t xml:space="preserve"> тыс. руб.*;</w:t>
            </w:r>
          </w:p>
          <w:p w:rsidR="00A7299D" w:rsidRPr="002B1084" w:rsidRDefault="00A7299D" w:rsidP="00A7299D">
            <w:pPr>
              <w:spacing w:before="0" w:after="0"/>
              <w:rPr>
                <w:rFonts w:eastAsiaTheme="minorEastAsia"/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 xml:space="preserve">2030 год – </w:t>
            </w:r>
            <w:r w:rsidRPr="002B1084">
              <w:rPr>
                <w:sz w:val="28"/>
                <w:szCs w:val="28"/>
              </w:rPr>
              <w:t xml:space="preserve">438 078,7 </w:t>
            </w:r>
            <w:r w:rsidRPr="002B1084">
              <w:rPr>
                <w:rFonts w:eastAsiaTheme="minorEastAsia"/>
                <w:sz w:val="28"/>
                <w:szCs w:val="28"/>
              </w:rPr>
              <w:t>тыс. руб.*;</w:t>
            </w:r>
          </w:p>
          <w:p w:rsidR="00BE2342" w:rsidRPr="002B1084" w:rsidRDefault="00A7299D" w:rsidP="00A7299D">
            <w:pPr>
              <w:spacing w:before="0" w:after="0"/>
              <w:rPr>
                <w:sz w:val="28"/>
                <w:szCs w:val="28"/>
              </w:rPr>
            </w:pPr>
            <w:r w:rsidRPr="002B1084">
              <w:rPr>
                <w:rFonts w:eastAsiaTheme="minorEastAsia"/>
                <w:sz w:val="28"/>
                <w:szCs w:val="28"/>
              </w:rPr>
              <w:t>*Указаны прогнозные объемы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налоговых расходов в рамках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Общий объем налоговых расходов государственной программы составляет 0,0 тыс. руб. за период 2020–2030 годов.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государственной программы: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2020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2021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2022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2024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2025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2026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2027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2028 год – 0,0 тыс. руб.;</w:t>
            </w:r>
          </w:p>
          <w:p w:rsidR="00976851" w:rsidRPr="002B1084" w:rsidRDefault="00976851" w:rsidP="00976851">
            <w:pPr>
              <w:pStyle w:val="ConsPlusNormal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2029 год – 0,0 тыс. руб.;</w:t>
            </w:r>
          </w:p>
          <w:p w:rsidR="00BE2342" w:rsidRPr="002B1084" w:rsidRDefault="00976851" w:rsidP="009768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2030 год – 0,0 тыс. руб.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7112" w:type="dxa"/>
            <w:tcBorders>
              <w:top w:val="single" w:sz="4" w:space="0" w:color="auto"/>
              <w:bottom w:val="nil"/>
            </w:tcBorders>
          </w:tcPr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1. Отношение фактического объема заготовки древесины к установленному допустимому объему изъятия древесины.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2. Лесистость территории Новосибирской области.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3. 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 Новосибирской области.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4. Отношение площади лесовосстановления к площади вырубленных и погибших лесных насаждений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BE2342" w:rsidRPr="002B1084" w:rsidRDefault="00BE2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программы, выраженные в количественно измеримых показателях</w:t>
            </w:r>
          </w:p>
        </w:tc>
        <w:tc>
          <w:tcPr>
            <w:tcW w:w="7112" w:type="dxa"/>
            <w:tcBorders>
              <w:top w:val="single" w:sz="4" w:space="0" w:color="auto"/>
              <w:bottom w:val="single" w:sz="4" w:space="0" w:color="auto"/>
            </w:tcBorders>
          </w:tcPr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государственной программы позволит достичь следующих результатов.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Для повышения эффективности использования, охраны, 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защиты и воспроизводства лесов, обеспечения стабильного удовлетворения общественных потребностей в ресурсах и полезных свойствах леса при гарантированном сохранении ресурсно-экологического потенциала и глобальных функций лесов планируется:</w:t>
            </w:r>
          </w:p>
          <w:p w:rsidR="00BE2342" w:rsidRPr="002B1084" w:rsidRDefault="009768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увеличить к концу 2030</w:t>
            </w:r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года отношение фактического объема заготовки древесины к установленному объему изъятия древесины до уровня 2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>% (среднемноголетнее значение за 2014 - 2018 годы - 20,1%, среднемноголетнее значение за 2015 - 2019 гг. - 20,3%, среднемноголетнее значение за 2016 - 2020 гг. - 20,0%, среднемноголетнее значение за 2017 - 2021 гг. - 20,7%);</w:t>
            </w:r>
          </w:p>
          <w:p w:rsidR="00BE2342" w:rsidRPr="002B1084" w:rsidRDefault="009768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сохранить к 2030</w:t>
            </w:r>
            <w:r w:rsidR="00BE2342"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году лесистость территории Новосибирской области на уровне 27,4%;</w:t>
            </w:r>
          </w:p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увеличить к концу 20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года объем платежей в бюджетную систему Российской Федерации от использования лесов, расположенных на землях лесного фонда, до уровня 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руб. на 1 га земель лесного фонда Новосибирской области (среднемноголетнее значение за 2010 - 2014 гг. - 21 руб./га, среднемноголетнее значение за 2014 - 2018 гг. - 28,4 руб./га, среднемноголетнее значение за 2015 - 2019 гг. - 33,5 руб./га, среднемноголетнее значение за 2016 - 2020 гг. - 38,8 руб./га, среднемноголетнее значение за 2017 - 2021 гг. - 44,4 руб./га);</w:t>
            </w:r>
          </w:p>
          <w:p w:rsidR="00BE2342" w:rsidRPr="002B1084" w:rsidRDefault="00BE2342" w:rsidP="009768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обеспечить в течение 2019 - 20</w:t>
            </w:r>
            <w:r w:rsidR="00976851" w:rsidRPr="002B108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 xml:space="preserve"> гг. отношение площади лесовосстановления и лесоразведения к площади вырубленных и погибших лесных насаждений на уровне не менее 100%</w:t>
            </w:r>
          </w:p>
        </w:tc>
      </w:tr>
      <w:tr w:rsidR="00BE2342" w:rsidRPr="002B1084" w:rsidTr="00DF7AA7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7112" w:type="dxa"/>
            <w:tcBorders>
              <w:top w:val="single" w:sz="4" w:space="0" w:color="auto"/>
              <w:bottom w:val="single" w:sz="4" w:space="0" w:color="auto"/>
            </w:tcBorders>
          </w:tcPr>
          <w:p w:rsidR="00BE2342" w:rsidRPr="002B1084" w:rsidRDefault="00BE23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84">
              <w:rPr>
                <w:rFonts w:ascii="Times New Roman" w:hAnsi="Times New Roman" w:cs="Times New Roman"/>
                <w:sz w:val="28"/>
                <w:szCs w:val="28"/>
              </w:rPr>
              <w:t>https://mpr.nso.ru/page/2786</w:t>
            </w:r>
          </w:p>
        </w:tc>
      </w:tr>
    </w:tbl>
    <w:p w:rsidR="00020C32" w:rsidRPr="002B1084" w:rsidRDefault="00020C32" w:rsidP="000B21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E37E9" w:rsidRPr="002B1084" w:rsidRDefault="000E37E9" w:rsidP="000B21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E37E9" w:rsidRPr="002B1084" w:rsidRDefault="000E37E9" w:rsidP="000B21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E37E9" w:rsidRPr="002B1084" w:rsidRDefault="000E37E9" w:rsidP="000E37E9">
      <w:pPr>
        <w:rPr>
          <w:sz w:val="28"/>
          <w:szCs w:val="28"/>
        </w:rPr>
      </w:pPr>
      <w:r w:rsidRPr="002B1084">
        <w:rPr>
          <w:sz w:val="28"/>
          <w:szCs w:val="28"/>
        </w:rPr>
        <w:t>Министр природных ресурсов</w:t>
      </w:r>
    </w:p>
    <w:p w:rsidR="000E37E9" w:rsidRPr="00BE2342" w:rsidRDefault="000E37E9" w:rsidP="00DF7AA7">
      <w:pPr>
        <w:ind w:right="-143"/>
        <w:rPr>
          <w:sz w:val="28"/>
          <w:szCs w:val="28"/>
        </w:rPr>
      </w:pPr>
      <w:r w:rsidRPr="002B1084">
        <w:rPr>
          <w:sz w:val="28"/>
          <w:szCs w:val="28"/>
        </w:rPr>
        <w:t xml:space="preserve">и экологии Новосибирской области                                    </w:t>
      </w:r>
      <w:r w:rsidR="00DF7AA7">
        <w:rPr>
          <w:sz w:val="28"/>
          <w:szCs w:val="28"/>
        </w:rPr>
        <w:t xml:space="preserve">  </w:t>
      </w:r>
      <w:r w:rsidRPr="002B1084">
        <w:rPr>
          <w:sz w:val="28"/>
          <w:szCs w:val="28"/>
        </w:rPr>
        <w:t xml:space="preserve">        Е.А. Шестернин</w:t>
      </w:r>
    </w:p>
    <w:sectPr w:rsidR="000E37E9" w:rsidRPr="00BE2342" w:rsidSect="001C7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342"/>
    <w:rsid w:val="00020C32"/>
    <w:rsid w:val="000B212A"/>
    <w:rsid w:val="000E37E9"/>
    <w:rsid w:val="001949B2"/>
    <w:rsid w:val="002B1084"/>
    <w:rsid w:val="003744DB"/>
    <w:rsid w:val="00582B50"/>
    <w:rsid w:val="006021D5"/>
    <w:rsid w:val="007102FA"/>
    <w:rsid w:val="00837402"/>
    <w:rsid w:val="00976851"/>
    <w:rsid w:val="00A7299D"/>
    <w:rsid w:val="00BE2342"/>
    <w:rsid w:val="00D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F3BE5"/>
  <w15:chartTrackingRefBased/>
  <w15:docId w15:val="{85192A2D-4D8A-4202-8FAC-4D132FDD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99D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3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E23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7299D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Times New Roman CYR" w:eastAsiaTheme="minorEastAsia" w:hAnsi="Times New Roman CYR" w:cs="Times New Roman CYR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7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60DBBDFCEB2E286E5E8C5891C74A9A866C9AC4C1CE649C6C5F38A0737A4B3F2E8912540A700965FA86668EA8E768CF66EA10056B5255A5FB8752EACA703H" TargetMode="External"/><Relationship Id="rId5" Type="http://schemas.openxmlformats.org/officeDocument/2006/relationships/hyperlink" Target="consultantplus://offline/ref=760DBBDFCEB2E286E5E8C5891C74A9A866C9AC4C1CE649C6C5F38A0737A4B3F2E8912540A700965FA86669EE84768CF66EA10056B5255A5FB8752EACA70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B933-3B1F-48D2-ABD5-10C48B60A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 Татьяна Николаевна</dc:creator>
  <cp:keywords/>
  <dc:description/>
  <cp:lastModifiedBy>Мочалова Анастасия Витальевна</cp:lastModifiedBy>
  <cp:revision>9</cp:revision>
  <dcterms:created xsi:type="dcterms:W3CDTF">2022-10-13T07:51:00Z</dcterms:created>
  <dcterms:modified xsi:type="dcterms:W3CDTF">2022-10-14T03:16:00Z</dcterms:modified>
</cp:coreProperties>
</file>